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24A51">
      <w:pPr>
        <w:outlineLvl w:val="0"/>
        <w:rPr>
          <w:rFonts w:hint="eastAsia" w:ascii="微软雅黑" w:hAnsi="微软雅黑" w:eastAsia="微软雅黑" w:cs="微软雅黑"/>
          <w:b/>
          <w:bCs/>
        </w:rPr>
      </w:pPr>
      <w:bookmarkStart w:id="0" w:name="_GoBack"/>
      <w:bookmarkEnd w:id="0"/>
      <w:r>
        <w:rPr>
          <w:rFonts w:hint="eastAsia" w:ascii="微软雅黑" w:hAnsi="微软雅黑" w:eastAsia="微软雅黑" w:cs="微软雅黑"/>
          <w:b/>
          <w:bCs/>
        </w:rPr>
        <w:t>尊享2024健告 -新</w:t>
      </w:r>
    </w:p>
    <w:p w14:paraId="137A02EF">
      <w:pPr>
        <w:rPr>
          <w:rFonts w:hint="eastAsia" w:ascii="微软雅黑" w:hAnsi="微软雅黑" w:eastAsia="微软雅黑" w:cs="微软雅黑"/>
          <w:b/>
          <w:bCs/>
          <w:sz w:val="18"/>
          <w:szCs w:val="18"/>
        </w:rPr>
      </w:pPr>
      <w:r>
        <w:rPr>
          <w:rFonts w:hint="eastAsia" w:ascii="微软雅黑" w:hAnsi="微软雅黑" w:eastAsia="微软雅黑" w:cs="微软雅黑"/>
          <w:b/>
          <w:bCs/>
          <w:color w:val="FFFFFF" w:themeColor="background1"/>
          <w:sz w:val="18"/>
          <w:szCs w:val="18"/>
          <w:highlight w:val="red"/>
          <w14:textFill>
            <w14:solidFill>
              <w14:schemeClr w14:val="bg1"/>
            </w14:solidFill>
          </w14:textFill>
        </w:rPr>
        <w:t>重要</w:t>
      </w:r>
      <w:r>
        <w:rPr>
          <w:rFonts w:hint="eastAsia" w:ascii="微软雅黑" w:hAnsi="微软雅黑" w:eastAsia="微软雅黑" w:cs="微软雅黑"/>
          <w:sz w:val="18"/>
          <w:szCs w:val="18"/>
        </w:rPr>
        <w:t>：</w:t>
      </w:r>
      <w:r>
        <w:rPr>
          <w:rFonts w:hint="eastAsia" w:ascii="微软雅黑" w:hAnsi="微软雅黑" w:eastAsia="微软雅黑" w:cs="微软雅黑"/>
          <w:b/>
          <w:bCs/>
          <w:sz w:val="18"/>
          <w:szCs w:val="18"/>
        </w:rPr>
        <w:t>请确认被保险人是否存在下列问题。请按实际情况投保，否则将对您的理赔权益或合同效力产生影响。</w:t>
      </w:r>
    </w:p>
    <w:p w14:paraId="33334256">
      <w:pPr>
        <w:rPr>
          <w:color w:val="000000" w:themeColor="text1"/>
          <w14:textFill>
            <w14:solidFill>
              <w14:schemeClr w14:val="tx1"/>
            </w14:solidFill>
          </w14:textFill>
        </w:rPr>
      </w:pPr>
    </w:p>
    <w:p w14:paraId="5084B50F">
      <w:pPr>
        <w:rPr>
          <w:rFonts w:hint="eastAsia" w:ascii="微软雅黑" w:hAnsi="微软雅黑" w:eastAsia="微软雅黑" w:cs="微软雅黑"/>
          <w:b/>
          <w:bCs/>
          <w:color w:val="000000" w:themeColor="text1"/>
          <w:sz w:val="18"/>
          <w:szCs w:val="18"/>
          <w:highlight w:val="darkBlue"/>
          <w14:textFill>
            <w14:solidFill>
              <w14:schemeClr w14:val="tx1"/>
            </w14:solidFill>
          </w14:textFill>
        </w:rPr>
      </w:pPr>
      <w:r>
        <w:rPr>
          <w:rFonts w:hint="eastAsia" w:ascii="微软雅黑" w:hAnsi="微软雅黑" w:eastAsia="微软雅黑" w:cs="微软雅黑"/>
          <w:b/>
          <w:bCs/>
          <w:color w:val="000000" w:themeColor="text1"/>
          <w:sz w:val="18"/>
          <w:szCs w:val="18"/>
          <w:highlight w:val="yellow"/>
          <w14:textFill>
            <w14:solidFill>
              <w14:schemeClr w14:val="tx1"/>
            </w14:solidFill>
          </w14:textFill>
        </w:rPr>
        <w:t>特别提醒：</w:t>
      </w:r>
      <w:r>
        <w:rPr>
          <w:rFonts w:ascii="微软雅黑" w:hAnsi="微软雅黑" w:eastAsia="微软雅黑" w:cs="微软雅黑"/>
          <w:b/>
          <w:bCs/>
          <w:color w:val="000000" w:themeColor="text1"/>
          <w:sz w:val="18"/>
          <w:szCs w:val="18"/>
          <w:highlight w:val="yellow"/>
          <w14:textFill>
            <w14:solidFill>
              <w14:schemeClr w14:val="tx1"/>
            </w14:solidFill>
          </w14:textFill>
        </w:rPr>
        <w:t>不符合健康告知不能投保，</w:t>
      </w:r>
      <w:r>
        <w:rPr>
          <w:rFonts w:hint="eastAsia" w:ascii="微软雅黑" w:hAnsi="微软雅黑" w:eastAsia="微软雅黑" w:cs="微软雅黑"/>
          <w:b/>
          <w:bCs/>
          <w:color w:val="000000" w:themeColor="text1"/>
          <w:sz w:val="18"/>
          <w:szCs w:val="18"/>
          <w:highlight w:val="yellow"/>
          <w14:textFill>
            <w14:solidFill>
              <w14:schemeClr w14:val="tx1"/>
            </w14:solidFill>
          </w14:textFill>
        </w:rPr>
        <w:t>您可以使用智能核保系统如实告知被保险人的健康状况，了解被保险人是否可以投保。</w:t>
      </w:r>
      <w:r>
        <w:rPr>
          <w:rFonts w:hint="eastAsia" w:ascii="微软雅黑" w:hAnsi="微软雅黑" w:eastAsia="微软雅黑" w:cs="微软雅黑"/>
          <w:color w:val="000000" w:themeColor="text1"/>
          <w:sz w:val="18"/>
          <w:szCs w:val="18"/>
          <w:highlight w:val="yellow"/>
          <w14:textFill>
            <w14:solidFill>
              <w14:schemeClr w14:val="tx1"/>
            </w14:solidFill>
          </w14:textFill>
        </w:rPr>
        <w:t>曾患有如</w:t>
      </w:r>
      <w:r>
        <w:rPr>
          <w:rFonts w:hint="eastAsia" w:ascii="微软雅黑" w:hAnsi="微软雅黑" w:eastAsia="微软雅黑" w:cs="微软雅黑"/>
          <w:b/>
          <w:bCs/>
          <w:color w:val="000000" w:themeColor="text1"/>
          <w:sz w:val="18"/>
          <w:szCs w:val="18"/>
          <w:highlight w:val="yellow"/>
          <w14:textFill>
            <w14:solidFill>
              <w14:schemeClr w14:val="tx1"/>
            </w14:solidFill>
          </w14:textFill>
        </w:rPr>
        <w:t>冠心病、心梗、脑出血、脑梗死、恶性肿瘤、颅内或脊髓肿瘤、肾功能不全、肝硬化等</w:t>
      </w:r>
      <w:r>
        <w:rPr>
          <w:rFonts w:ascii="微软雅黑" w:hAnsi="微软雅黑" w:eastAsia="微软雅黑" w:cs="微软雅黑"/>
          <w:b/>
          <w:bCs/>
          <w:color w:val="000000" w:themeColor="text1"/>
          <w:sz w:val="18"/>
          <w:szCs w:val="18"/>
          <w:highlight w:val="yellow"/>
          <w14:textFill>
            <w14:solidFill>
              <w14:schemeClr w14:val="tx1"/>
            </w14:solidFill>
          </w14:textFill>
        </w:rPr>
        <w:t>将不予承保</w:t>
      </w:r>
      <w:r>
        <w:rPr>
          <w:rFonts w:hint="eastAsia" w:ascii="微软雅黑" w:hAnsi="微软雅黑" w:eastAsia="微软雅黑" w:cs="微软雅黑"/>
          <w:color w:val="000000" w:themeColor="text1"/>
          <w:sz w:val="18"/>
          <w:szCs w:val="18"/>
          <w:highlight w:val="yellow"/>
          <w14:textFill>
            <w14:solidFill>
              <w14:schemeClr w14:val="tx1"/>
            </w14:solidFill>
          </w14:textFill>
        </w:rPr>
        <w:t>；曾患有如</w:t>
      </w:r>
      <w:r>
        <w:rPr>
          <w:rFonts w:hint="eastAsia" w:ascii="微软雅黑" w:hAnsi="微软雅黑" w:eastAsia="微软雅黑" w:cs="微软雅黑"/>
          <w:b/>
          <w:bCs/>
          <w:color w:val="000000" w:themeColor="text1"/>
          <w:sz w:val="18"/>
          <w:szCs w:val="18"/>
          <w:highlight w:val="yellow"/>
          <w14:textFill>
            <w14:solidFill>
              <w14:schemeClr w14:val="tx1"/>
            </w14:solidFill>
          </w14:textFill>
        </w:rPr>
        <w:t>甲状腺结节、乳腺结节、乙肝、急性肾小球肾炎、高血压、糖耐量异常等</w:t>
      </w:r>
      <w:r>
        <w:rPr>
          <w:rFonts w:hint="eastAsia" w:ascii="微软雅黑" w:hAnsi="微软雅黑" w:eastAsia="微软雅黑" w:cs="微软雅黑"/>
          <w:color w:val="000000" w:themeColor="text1"/>
          <w:sz w:val="18"/>
          <w:szCs w:val="18"/>
          <w:highlight w:val="yellow"/>
          <w14:textFill>
            <w14:solidFill>
              <w14:schemeClr w14:val="tx1"/>
            </w14:solidFill>
          </w14:textFill>
        </w:rPr>
        <w:t>可进入智能核保告知</w:t>
      </w:r>
      <w:r>
        <w:rPr>
          <w:rStyle w:val="8"/>
          <w:highlight w:val="yellow"/>
        </w:rPr>
        <w:commentReference w:id="0"/>
      </w:r>
      <w:r>
        <w:rPr>
          <w:rFonts w:hint="eastAsia" w:ascii="微软雅黑" w:hAnsi="微软雅黑" w:eastAsia="微软雅黑" w:cs="微软雅黑"/>
          <w:b/>
          <w:bCs/>
          <w:sz w:val="18"/>
          <w:szCs w:val="18"/>
          <w:highlight w:val="yellow"/>
        </w:rPr>
        <w:t>。</w:t>
      </w:r>
    </w:p>
    <w:p w14:paraId="6970A250">
      <w:pPr>
        <w:rPr>
          <w:rFonts w:hint="eastAsia" w:ascii="微软雅黑" w:hAnsi="微软雅黑" w:eastAsia="微软雅黑" w:cs="微软雅黑"/>
          <w:b/>
          <w:bCs/>
          <w:sz w:val="18"/>
          <w:szCs w:val="18"/>
        </w:rPr>
      </w:pPr>
    </w:p>
    <w:p w14:paraId="210FC18A">
      <w:pPr>
        <w:pStyle w:val="9"/>
        <w:numPr>
          <w:ilvl w:val="0"/>
          <w:numId w:val="1"/>
        </w:numPr>
        <w:ind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【就医行为和保险情况】</w:t>
      </w:r>
    </w:p>
    <w:p w14:paraId="748082E0">
      <w:pPr>
        <w:pStyle w:val="9"/>
        <w:numPr>
          <w:ilvl w:val="0"/>
          <w:numId w:val="2"/>
        </w:numPr>
        <w:ind w:left="0"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被保险人过去1年内是否曾有检查结果异常（检查项目包括：CT、核磁共振、内窥镜、组织或细胞病理学检查、骨髓穿刺、血管造影、心电图提示心肌缺血</w:t>
      </w:r>
      <w:r>
        <w:rPr>
          <w:rFonts w:ascii="微软雅黑" w:hAnsi="微软雅黑" w:eastAsia="微软雅黑" w:cs="微软雅黑"/>
          <w:sz w:val="18"/>
          <w:szCs w:val="18"/>
        </w:rPr>
        <w:t>/</w:t>
      </w:r>
      <w:r>
        <w:rPr>
          <w:rFonts w:hint="eastAsia" w:ascii="微软雅黑" w:hAnsi="微软雅黑" w:eastAsia="微软雅黑" w:cs="微软雅黑"/>
          <w:sz w:val="18"/>
          <w:szCs w:val="18"/>
        </w:rPr>
        <w:t>心房或心室肥大</w:t>
      </w:r>
      <w:r>
        <w:rPr>
          <w:rFonts w:ascii="微软雅黑" w:hAnsi="微软雅黑" w:eastAsia="微软雅黑" w:cs="微软雅黑"/>
          <w:sz w:val="18"/>
          <w:szCs w:val="18"/>
        </w:rPr>
        <w:t>/</w:t>
      </w:r>
      <w:r>
        <w:rPr>
          <w:rFonts w:hint="eastAsia" w:ascii="微软雅黑" w:hAnsi="微软雅黑" w:eastAsia="微软雅黑" w:cs="微软雅黑"/>
          <w:sz w:val="18"/>
          <w:szCs w:val="18"/>
        </w:rPr>
        <w:t>严重心律失常、肺功能检查提示通气功能减退、</w:t>
      </w:r>
      <w:r>
        <w:rPr>
          <w:rFonts w:ascii="微软雅黑" w:hAnsi="微软雅黑" w:eastAsia="微软雅黑" w:cs="微软雅黑"/>
          <w:sz w:val="18"/>
          <w:szCs w:val="18"/>
        </w:rPr>
        <w:t>X</w:t>
      </w:r>
      <w:r>
        <w:rPr>
          <w:rFonts w:hint="eastAsia" w:ascii="微软雅黑" w:hAnsi="微软雅黑" w:eastAsia="微软雅黑" w:cs="微软雅黑"/>
          <w:sz w:val="18"/>
          <w:szCs w:val="18"/>
        </w:rPr>
        <w:t>线提示肺纤维化</w:t>
      </w:r>
      <w:r>
        <w:rPr>
          <w:rFonts w:ascii="微软雅黑" w:hAnsi="微软雅黑" w:eastAsia="微软雅黑" w:cs="微软雅黑"/>
          <w:sz w:val="18"/>
          <w:szCs w:val="18"/>
        </w:rPr>
        <w:t>/</w:t>
      </w:r>
      <w:r>
        <w:rPr>
          <w:rFonts w:hint="eastAsia" w:ascii="微软雅黑" w:hAnsi="微软雅黑" w:eastAsia="微软雅黑" w:cs="微软雅黑"/>
          <w:sz w:val="18"/>
          <w:szCs w:val="18"/>
        </w:rPr>
        <w:t>心脏增大</w:t>
      </w:r>
      <w:r>
        <w:rPr>
          <w:rFonts w:ascii="微软雅黑" w:hAnsi="微软雅黑" w:eastAsia="微软雅黑" w:cs="微软雅黑"/>
          <w:sz w:val="18"/>
          <w:szCs w:val="18"/>
        </w:rPr>
        <w:t>/</w:t>
      </w:r>
      <w:r>
        <w:rPr>
          <w:rFonts w:hint="eastAsia" w:ascii="微软雅黑" w:hAnsi="微软雅黑" w:eastAsia="微软雅黑" w:cs="微软雅黑"/>
          <w:sz w:val="18"/>
          <w:szCs w:val="18"/>
        </w:rPr>
        <w:t>胸腔积液</w:t>
      </w: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rPr>
        <w:t>超声提示肝纤维化</w:t>
      </w:r>
      <w:r>
        <w:rPr>
          <w:rFonts w:ascii="微软雅黑" w:hAnsi="微软雅黑" w:eastAsia="微软雅黑" w:cs="微软雅黑"/>
          <w:sz w:val="18"/>
          <w:szCs w:val="18"/>
        </w:rPr>
        <w:t>/</w:t>
      </w:r>
      <w:r>
        <w:rPr>
          <w:rFonts w:hint="eastAsia" w:ascii="微软雅黑" w:hAnsi="微软雅黑" w:eastAsia="微软雅黑" w:cs="微软雅黑"/>
          <w:sz w:val="18"/>
          <w:szCs w:val="18"/>
        </w:rPr>
        <w:t>肝脾肿大</w:t>
      </w:r>
      <w:r>
        <w:rPr>
          <w:rFonts w:ascii="微软雅黑" w:hAnsi="微软雅黑" w:eastAsia="微软雅黑" w:cs="微软雅黑"/>
          <w:sz w:val="18"/>
          <w:szCs w:val="18"/>
        </w:rPr>
        <w:t>/</w:t>
      </w:r>
      <w:r>
        <w:rPr>
          <w:rFonts w:hint="eastAsia" w:ascii="微软雅黑" w:hAnsi="微软雅黑" w:eastAsia="微软雅黑" w:cs="微软雅黑"/>
          <w:sz w:val="18"/>
          <w:szCs w:val="18"/>
        </w:rPr>
        <w:t>肝胆胰管梗阻</w:t>
      </w:r>
      <w:r>
        <w:rPr>
          <w:rFonts w:ascii="微软雅黑" w:hAnsi="微软雅黑" w:eastAsia="微软雅黑" w:cs="微软雅黑"/>
          <w:sz w:val="18"/>
          <w:szCs w:val="18"/>
        </w:rPr>
        <w:t>/</w:t>
      </w:r>
      <w:r>
        <w:rPr>
          <w:rFonts w:hint="eastAsia" w:ascii="微软雅黑" w:hAnsi="微软雅黑" w:eastAsia="微软雅黑" w:cs="微软雅黑"/>
          <w:sz w:val="18"/>
          <w:szCs w:val="18"/>
        </w:rPr>
        <w:t>肾萎缩</w:t>
      </w:r>
      <w:r>
        <w:rPr>
          <w:rFonts w:ascii="微软雅黑" w:hAnsi="微软雅黑" w:eastAsia="微软雅黑" w:cs="微软雅黑"/>
          <w:sz w:val="18"/>
          <w:szCs w:val="18"/>
        </w:rPr>
        <w:t>/</w:t>
      </w:r>
      <w:r>
        <w:rPr>
          <w:rFonts w:hint="eastAsia" w:ascii="微软雅黑" w:hAnsi="微软雅黑" w:eastAsia="微软雅黑" w:cs="微软雅黑"/>
          <w:sz w:val="18"/>
          <w:szCs w:val="18"/>
        </w:rPr>
        <w:t>肾积水、肿瘤标志物）；过去2年内是否曾手术、住院？</w:t>
      </w:r>
    </w:p>
    <w:p w14:paraId="0129D0FA">
      <w:pPr>
        <w:pStyle w:val="9"/>
        <w:numPr>
          <w:ilvl w:val="0"/>
          <w:numId w:val="2"/>
        </w:numPr>
        <w:ind w:left="0" w:firstLine="0" w:firstLineChars="0"/>
        <w:rPr>
          <w:rFonts w:hint="eastAsia" w:ascii="微软雅黑" w:hAnsi="微软雅黑" w:eastAsia="微软雅黑" w:cs="微软雅黑"/>
          <w:b/>
          <w:bCs/>
          <w:sz w:val="18"/>
          <w:szCs w:val="18"/>
        </w:rPr>
      </w:pPr>
      <w:r>
        <w:rPr>
          <w:rFonts w:hint="eastAsia" w:ascii="微软雅黑" w:hAnsi="微软雅黑" w:eastAsia="微软雅黑" w:cs="微软雅黑"/>
          <w:sz w:val="18"/>
          <w:szCs w:val="18"/>
        </w:rPr>
        <w:t>被保险人过去2年内投保人身保险或健康保险时，是否曾被保险公司拒保、延期、加费或者附加相关条件承保？</w:t>
      </w:r>
    </w:p>
    <w:p w14:paraId="09C870D3">
      <w:pPr>
        <w:pStyle w:val="9"/>
        <w:ind w:firstLine="0" w:firstLineChars="0"/>
        <w:outlineLvl w:val="0"/>
        <w:rPr>
          <w:rFonts w:hint="eastAsia" w:ascii="微软雅黑" w:hAnsi="微软雅黑" w:eastAsia="微软雅黑" w:cs="微软雅黑"/>
          <w:b/>
          <w:bCs/>
          <w:sz w:val="18"/>
          <w:szCs w:val="18"/>
        </w:rPr>
      </w:pPr>
    </w:p>
    <w:p w14:paraId="3C42B534">
      <w:pPr>
        <w:pStyle w:val="9"/>
        <w:numPr>
          <w:ilvl w:val="0"/>
          <w:numId w:val="1"/>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【职业】</w:t>
      </w:r>
    </w:p>
    <w:p w14:paraId="662E5013">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被保险人目前是否专职或兼职从事属于</w:t>
      </w:r>
      <w:r>
        <w:rPr>
          <w:rFonts w:hint="eastAsia" w:ascii="微软雅黑" w:hAnsi="微软雅黑" w:eastAsia="微软雅黑" w:cs="微软雅黑"/>
          <w:sz w:val="18"/>
          <w:szCs w:val="18"/>
          <w:u w:val="single"/>
        </w:rPr>
        <w:t>《众安保险特殊职业类别表》</w:t>
      </w:r>
      <w:r>
        <w:rPr>
          <w:rFonts w:hint="eastAsia" w:ascii="微软雅黑" w:hAnsi="微软雅黑" w:eastAsia="微软雅黑" w:cs="微软雅黑"/>
          <w:sz w:val="18"/>
          <w:szCs w:val="18"/>
        </w:rPr>
        <w:t>中所列种类的职业？</w:t>
      </w:r>
      <w:r>
        <w:rPr>
          <w:rFonts w:hint="eastAsia" w:ascii="微软雅黑" w:hAnsi="微软雅黑" w:eastAsia="微软雅黑" w:cs="微软雅黑"/>
          <w:sz w:val="18"/>
          <w:szCs w:val="18"/>
          <w:u w:val="single"/>
        </w:rPr>
        <w:t>（</w:t>
      </w:r>
      <w:r>
        <w:rPr>
          <w:rFonts w:hint="eastAsia" w:ascii="微软雅黑" w:hAnsi="微软雅黑" w:eastAsia="微软雅黑" w:cs="微软雅黑"/>
          <w:sz w:val="18"/>
          <w:szCs w:val="18"/>
        </w:rPr>
        <w:t>详细请查询投保须知第十条《众安保险特殊职业类别表》）</w:t>
      </w:r>
    </w:p>
    <w:p w14:paraId="5C993630">
      <w:pPr>
        <w:rPr>
          <w:rFonts w:hint="eastAsia" w:ascii="微软雅黑" w:hAnsi="微软雅黑" w:eastAsia="微软雅黑" w:cs="微软雅黑"/>
          <w:sz w:val="18"/>
          <w:szCs w:val="18"/>
        </w:rPr>
      </w:pPr>
    </w:p>
    <w:p w14:paraId="19C2D973">
      <w:pPr>
        <w:pStyle w:val="9"/>
        <w:numPr>
          <w:ilvl w:val="0"/>
          <w:numId w:val="1"/>
        </w:numPr>
        <w:ind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【健康状况】</w:t>
      </w:r>
    </w:p>
    <w:p w14:paraId="631CBD82">
      <w:pPr>
        <w:pStyle w:val="9"/>
        <w:numPr>
          <w:ilvl w:val="0"/>
          <w:numId w:val="3"/>
        </w:numPr>
        <w:ind w:firstLineChars="0"/>
        <w:rPr>
          <w:rFonts w:hint="eastAsia" w:ascii="微软雅黑" w:hAnsi="微软雅黑" w:eastAsia="微软雅黑" w:cs="微软雅黑"/>
          <w:sz w:val="15"/>
          <w:szCs w:val="15"/>
        </w:rPr>
      </w:pPr>
      <w:r>
        <w:rPr>
          <w:rFonts w:hint="eastAsia" w:ascii="微软雅黑" w:hAnsi="微软雅黑" w:eastAsia="微软雅黑" w:cs="微软雅黑"/>
          <w:b/>
          <w:bCs/>
          <w:sz w:val="18"/>
          <w:szCs w:val="18"/>
        </w:rPr>
        <w:t>被保险人目前或曾经</w:t>
      </w:r>
      <w:r>
        <w:rPr>
          <w:rFonts w:hint="eastAsia" w:ascii="微软雅黑" w:hAnsi="微软雅黑" w:eastAsia="微软雅黑" w:cs="微软雅黑"/>
          <w:sz w:val="18"/>
          <w:szCs w:val="18"/>
        </w:rPr>
        <w:t>是否</w:t>
      </w:r>
      <w:r>
        <w:rPr>
          <w:rFonts w:hint="eastAsia" w:ascii="微软雅黑" w:hAnsi="微软雅黑" w:eastAsia="微软雅黑" w:cs="微软雅黑"/>
          <w:b/>
          <w:bCs/>
          <w:sz w:val="18"/>
          <w:szCs w:val="18"/>
        </w:rPr>
        <w:t>患有下列疾病</w:t>
      </w:r>
    </w:p>
    <w:p w14:paraId="609F0EEC">
      <w:pPr>
        <w:pStyle w:val="9"/>
        <w:ind w:firstLine="0"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 肿瘤：</w:t>
      </w:r>
      <w:r>
        <w:rPr>
          <w:rFonts w:hint="eastAsia" w:ascii="微软雅黑" w:hAnsi="微软雅黑" w:eastAsia="微软雅黑" w:cs="微软雅黑"/>
          <w:sz w:val="18"/>
          <w:szCs w:val="18"/>
        </w:rPr>
        <w:t>良、恶性肿瘤（含白血病、淋巴瘤、多发性骨髓瘤）、交界性肿瘤或动态未定性肿瘤、原位癌、癌前病变；</w:t>
      </w:r>
    </w:p>
    <w:p w14:paraId="510C66C0">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肿物与息肉：</w:t>
      </w:r>
      <w:r>
        <w:rPr>
          <w:rFonts w:hint="eastAsia" w:ascii="微软雅黑" w:hAnsi="微软雅黑" w:eastAsia="微软雅黑" w:cs="微软雅黑"/>
          <w:sz w:val="18"/>
          <w:szCs w:val="18"/>
        </w:rPr>
        <w:t>甲状腺结节或肿块、乳房结节或肿块、肺部肿块/结节/阴影/磨玻璃影、胃息肉、肠道息肉或肿物、肝脏结节或肿块（不包括肝血管瘤或肝囊肿）、肾或肾上腺肿块或占位（不包括单纯性肾囊肿）、颅内占位、胰腺占位、盆腔占位、宫颈或子宫内膜息肉或赘生物、卵巢包块；</w:t>
      </w:r>
    </w:p>
    <w:p w14:paraId="63CEA69E">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高血压：</w:t>
      </w:r>
      <w:r>
        <w:rPr>
          <w:rFonts w:hint="eastAsia" w:ascii="微软雅黑" w:hAnsi="微软雅黑" w:eastAsia="微软雅黑" w:cs="微软雅黑"/>
          <w:sz w:val="18"/>
          <w:szCs w:val="18"/>
        </w:rPr>
        <w:t>2级或以上高血压（收缩压≥160mmHg或舒张压≥100mmHg）</w:t>
      </w:r>
    </w:p>
    <w:p w14:paraId="09DAF78F">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高血糖：</w:t>
      </w:r>
      <w:r>
        <w:rPr>
          <w:rFonts w:hint="eastAsia" w:ascii="微软雅黑" w:hAnsi="微软雅黑" w:eastAsia="微软雅黑" w:cs="微软雅黑"/>
          <w:sz w:val="18"/>
          <w:szCs w:val="18"/>
        </w:rPr>
        <w:t>糖尿病或空腹血糖&gt;6.</w:t>
      </w:r>
      <w:r>
        <w:rPr>
          <w:rFonts w:ascii="微软雅黑" w:hAnsi="微软雅黑" w:eastAsia="微软雅黑" w:cs="微软雅黑"/>
          <w:sz w:val="18"/>
          <w:szCs w:val="18"/>
        </w:rPr>
        <w:t>2</w:t>
      </w:r>
      <w:r>
        <w:rPr>
          <w:rFonts w:hint="eastAsia" w:ascii="微软雅黑" w:hAnsi="微软雅黑" w:eastAsia="微软雅黑" w:cs="微软雅黑"/>
          <w:sz w:val="18"/>
          <w:szCs w:val="18"/>
        </w:rPr>
        <w:t>mmol/l；</w:t>
      </w:r>
    </w:p>
    <w:p w14:paraId="3057DB9A">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心血管疾病：</w:t>
      </w:r>
      <w:r>
        <w:rPr>
          <w:rFonts w:hint="eastAsia" w:ascii="微软雅黑" w:hAnsi="微软雅黑" w:eastAsia="微软雅黑" w:cs="微软雅黑"/>
          <w:sz w:val="18"/>
          <w:szCs w:val="18"/>
        </w:rPr>
        <w:t>冠心病、心梗、心肌病、风湿性心脏病、心瓣膜病、严重心律失常、心功能不全二级（含）以上；主动脉夹层；</w:t>
      </w:r>
    </w:p>
    <w:p w14:paraId="359074B1">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脑血管疾病：</w:t>
      </w:r>
      <w:r>
        <w:rPr>
          <w:rFonts w:hint="eastAsia" w:ascii="微软雅黑" w:hAnsi="微软雅黑" w:eastAsia="微软雅黑" w:cs="微软雅黑"/>
          <w:sz w:val="18"/>
          <w:szCs w:val="18"/>
        </w:rPr>
        <w:t>脑卒中（含脑梗，脑出血）、颅内血管瘤/畸形；</w:t>
      </w:r>
    </w:p>
    <w:p w14:paraId="01D98AAA">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神经系统及精神疾病：</w:t>
      </w:r>
      <w:r>
        <w:rPr>
          <w:rFonts w:hint="eastAsia" w:ascii="微软雅黑" w:hAnsi="微软雅黑" w:eastAsia="微软雅黑" w:cs="微软雅黑"/>
          <w:sz w:val="18"/>
          <w:szCs w:val="18"/>
        </w:rPr>
        <w:t>脑炎或脊髓炎及其后遗症、脑和脊髓的损伤、多发性硬化、重症肌无力、帕金森氏病、阿尔兹海默症、智力障碍、癫痫、精神类疾病；</w:t>
      </w:r>
    </w:p>
    <w:p w14:paraId="11A93F80">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肾脏疾病：</w:t>
      </w:r>
      <w:r>
        <w:rPr>
          <w:rFonts w:hint="eastAsia" w:ascii="微软雅黑" w:hAnsi="微软雅黑" w:eastAsia="微软雅黑" w:cs="微软雅黑"/>
          <w:sz w:val="18"/>
          <w:szCs w:val="18"/>
        </w:rPr>
        <w:t>慢性肾病、肾功能不全、肾病综合征；</w:t>
      </w:r>
    </w:p>
    <w:p w14:paraId="24F5DDA2">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消化系统疾病：</w:t>
      </w:r>
      <w:r>
        <w:rPr>
          <w:rFonts w:hint="eastAsia" w:ascii="微软雅黑" w:hAnsi="微软雅黑" w:eastAsia="微软雅黑" w:cs="微软雅黑"/>
          <w:sz w:val="18"/>
          <w:szCs w:val="18"/>
        </w:rPr>
        <w:t>肝炎或肝炎病毒携带者、酒精肝、肝硬化、肝功能衰竭、胰腺炎、溃疡性结肠炎或克罗恩病；</w:t>
      </w:r>
    </w:p>
    <w:p w14:paraId="074448F3">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血液疾病：</w:t>
      </w:r>
      <w:r>
        <w:rPr>
          <w:rFonts w:hint="eastAsia" w:ascii="微软雅黑" w:hAnsi="微软雅黑" w:eastAsia="微软雅黑" w:cs="微软雅黑"/>
          <w:sz w:val="18"/>
          <w:szCs w:val="18"/>
        </w:rPr>
        <w:t>再生障碍性贫血、骨髓增生异常</w:t>
      </w: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rPr>
        <w:t>嗜（噬）血细胞综合征、免疫性血小板减少症；</w:t>
      </w:r>
    </w:p>
    <w:p w14:paraId="61AF557C">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风湿免疫疾病：</w:t>
      </w:r>
      <w:r>
        <w:rPr>
          <w:rFonts w:hint="eastAsia" w:ascii="微软雅黑" w:hAnsi="微软雅黑" w:eastAsia="微软雅黑" w:cs="微软雅黑"/>
          <w:sz w:val="18"/>
          <w:szCs w:val="18"/>
        </w:rPr>
        <w:t>系统性红斑狼疮、类风湿性关节炎；</w:t>
      </w:r>
    </w:p>
    <w:p w14:paraId="1E6F73A1">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呼吸系统疾病：</w:t>
      </w:r>
      <w:r>
        <w:rPr>
          <w:rFonts w:hint="eastAsia" w:ascii="微软雅黑" w:hAnsi="微软雅黑" w:eastAsia="微软雅黑" w:cs="微软雅黑"/>
          <w:sz w:val="18"/>
          <w:szCs w:val="18"/>
        </w:rPr>
        <w:t>间质性肺病、支气管扩张、慢性阻塞性肺病（含慢性支气管炎，肺气肿）、呼吸功能不全；</w:t>
      </w:r>
    </w:p>
    <w:p w14:paraId="34B3AB73">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其他：</w:t>
      </w:r>
      <w:r>
        <w:rPr>
          <w:rFonts w:hint="eastAsia" w:ascii="微软雅黑" w:hAnsi="微软雅黑" w:eastAsia="微软雅黑" w:cs="微软雅黑"/>
          <w:sz w:val="18"/>
          <w:szCs w:val="18"/>
        </w:rPr>
        <w:t>动脉瘤、多发性肌炎/皮肌炎、干燥综合征、系统性硬化症、结缔组织病、HIV阳性、瘫痪 、严重视力障碍或严重听力障碍、中重度残疾、接受过组织或器官移植或造血干细胞移植？</w:t>
      </w:r>
    </w:p>
    <w:p w14:paraId="6BC52AF3">
      <w:pPr>
        <w:pStyle w:val="9"/>
        <w:numPr>
          <w:ilvl w:val="0"/>
          <w:numId w:val="3"/>
        </w:numPr>
        <w:ind w:firstLineChars="0"/>
        <w:rPr>
          <w:rFonts w:hint="eastAsia" w:ascii="微软雅黑" w:hAnsi="微软雅黑" w:eastAsia="微软雅黑" w:cs="微软雅黑"/>
          <w:sz w:val="15"/>
          <w:szCs w:val="15"/>
        </w:rPr>
      </w:pPr>
      <w:r>
        <w:rPr>
          <w:rFonts w:hint="eastAsia" w:ascii="微软雅黑" w:hAnsi="微软雅黑" w:eastAsia="微软雅黑" w:cs="微软雅黑"/>
          <w:b/>
          <w:bCs/>
          <w:sz w:val="18"/>
          <w:szCs w:val="18"/>
        </w:rPr>
        <w:t>被保险人1年内是否曾经患有下列症状</w:t>
      </w:r>
    </w:p>
    <w:p w14:paraId="060D93C2">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进食梗噎感或吞咽困难；黑痣增大，不明原因持续或反复发热（超过2周），淋巴结肿大，皮肤或粘膜的溃疡久治不愈；</w:t>
      </w:r>
    </w:p>
    <w:p w14:paraId="51EA271B">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不明原因皮下出血点、咳血、呕血、便血（非痔疮出血）或黑便、中重度贫血（Hb&lt;90g/l）；</w:t>
      </w:r>
    </w:p>
    <w:p w14:paraId="1EEB2867">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不明原因的持续或间歇性疼痛（超过1个月）；</w:t>
      </w:r>
      <w:r>
        <w:rPr>
          <w:rFonts w:hint="eastAsia" w:ascii="微软雅黑" w:hAnsi="微软雅黑" w:eastAsia="微软雅黑" w:cs="微软雅黑"/>
          <w:b/>
          <w:bCs/>
          <w:sz w:val="18"/>
          <w:szCs w:val="18"/>
        </w:rPr>
        <w:t xml:space="preserve"> </w:t>
      </w:r>
    </w:p>
    <w:p w14:paraId="3E79B8FB">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不明原因持续消化不良、黄疸；</w:t>
      </w:r>
    </w:p>
    <w:p w14:paraId="5EBA4C8C">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w:t>
      </w:r>
      <w:r>
        <w:rPr>
          <w:rFonts w:hint="eastAsia" w:ascii="微软雅黑" w:hAnsi="微软雅黑" w:eastAsia="微软雅黑" w:cs="微软雅黑"/>
          <w:sz w:val="18"/>
          <w:szCs w:val="18"/>
        </w:rPr>
        <w:t>浮肿、血尿、蛋白尿；</w:t>
      </w:r>
    </w:p>
    <w:p w14:paraId="2C178F1F">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抽搐、进行性加重的震颤、肌肉萎缩或肌无力、运动功能障碍；</w:t>
      </w:r>
    </w:p>
    <w:p w14:paraId="1EDA6032">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消瘦（非健身、非控制饮食原因所致的6个月内体重减轻5公斤以上）；</w:t>
      </w:r>
    </w:p>
    <w:p w14:paraId="3AA92007">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阴道异常出血？</w:t>
      </w:r>
    </w:p>
    <w:p w14:paraId="053E796C">
      <w:pPr>
        <w:pStyle w:val="9"/>
        <w:numPr>
          <w:ilvl w:val="0"/>
          <w:numId w:val="3"/>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适用于女性被保险人</w:t>
      </w:r>
    </w:p>
    <w:p w14:paraId="48C4E5A6">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是否曾患葡萄胎或其他妊娠滋养细胞疾病、宫颈上皮内瘤变或TCT检查异常（不包括炎症）、多囊卵巢综合征？</w:t>
      </w:r>
    </w:p>
    <w:p w14:paraId="44AADABC">
      <w:pPr>
        <w:pStyle w:val="9"/>
        <w:numPr>
          <w:ilvl w:val="0"/>
          <w:numId w:val="3"/>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适用于2周岁（含）以下被保险人</w:t>
      </w:r>
    </w:p>
    <w:p w14:paraId="6996386F">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出生时体重是否低于2.5公斤，是否早产、窒息、发育迟缓、脑瘫？</w:t>
      </w:r>
    </w:p>
    <w:p w14:paraId="42FFE7DF">
      <w:pPr>
        <w:pStyle w:val="9"/>
        <w:ind w:firstLine="0" w:firstLineChars="0"/>
        <w:rPr>
          <w:rFonts w:hint="eastAsia" w:ascii="微软雅黑" w:hAnsi="微软雅黑" w:eastAsia="微软雅黑" w:cs="微软雅黑"/>
          <w:sz w:val="18"/>
          <w:szCs w:val="18"/>
        </w:rPr>
      </w:pPr>
    </w:p>
    <w:p w14:paraId="6E6F1EEA">
      <w:pPr>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下述情况，仍可正常投保（但不承担投保前所患疾病引起的治疗费用）：</w:t>
      </w:r>
    </w:p>
    <w:p w14:paraId="3801ED18">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（1）妇产科：怀孕、分娩（含顺产、剖宫产）、宫外孕已治疗结束、流产（除葡萄胎以外）、上环/取环、结扎、避孕、不孕不育、阴道炎；</w:t>
      </w:r>
    </w:p>
    <w:p w14:paraId="3CF195C0">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w:t>
      </w:r>
      <w:r>
        <w:rPr>
          <w:rFonts w:ascii="微软雅黑" w:hAnsi="微软雅黑" w:eastAsia="微软雅黑" w:cs="微软雅黑"/>
          <w:sz w:val="18"/>
          <w:szCs w:val="18"/>
        </w:rPr>
        <w:t>2</w:t>
      </w:r>
      <w:r>
        <w:rPr>
          <w:rFonts w:hint="eastAsia" w:ascii="微软雅黑" w:hAnsi="微软雅黑" w:eastAsia="微软雅黑" w:cs="微软雅黑"/>
          <w:sz w:val="18"/>
          <w:szCs w:val="18"/>
        </w:rPr>
        <w:t>）呼吸科：感冒、急性支气管炎、支气管肺炎及大叶性肺炎（已治愈）；</w:t>
      </w:r>
    </w:p>
    <w:p w14:paraId="1B0AAD09">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（3）消化科：急性肠胃炎、幽门螺旋杆菌感染（无任何不适症状，无胃炎）、急性阑尾炎、胆囊结石或胆囊炎、胆囊息肉（无症状且最大直径&lt;</w:t>
      </w:r>
      <w:r>
        <w:rPr>
          <w:rFonts w:ascii="微软雅黑" w:hAnsi="微软雅黑" w:eastAsia="微软雅黑" w:cs="微软雅黑"/>
          <w:sz w:val="18"/>
          <w:szCs w:val="18"/>
        </w:rPr>
        <w:t>1</w:t>
      </w:r>
      <w:r>
        <w:rPr>
          <w:rFonts w:hint="eastAsia" w:ascii="微软雅黑" w:hAnsi="微软雅黑" w:eastAsia="微软雅黑" w:cs="微软雅黑"/>
          <w:sz w:val="18"/>
          <w:szCs w:val="18"/>
        </w:rPr>
        <w:t>cm）、肝脂肪浸润或轻中度脂肪肝（血脂血糖肝功能无异常）、肝血管瘤（无症状且最大直径不超过4cm）、痔疮；</w:t>
      </w:r>
    </w:p>
    <w:p w14:paraId="039CF449">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w:t>
      </w:r>
      <w:r>
        <w:rPr>
          <w:rFonts w:ascii="微软雅黑" w:hAnsi="微软雅黑" w:eastAsia="微软雅黑" w:cs="微软雅黑"/>
          <w:sz w:val="18"/>
          <w:szCs w:val="18"/>
        </w:rPr>
        <w:t>4</w:t>
      </w:r>
      <w:r>
        <w:rPr>
          <w:rFonts w:hint="eastAsia" w:ascii="微软雅黑" w:hAnsi="微软雅黑" w:eastAsia="微软雅黑" w:cs="微软雅黑"/>
          <w:sz w:val="18"/>
          <w:szCs w:val="18"/>
        </w:rPr>
        <w:t>）骨科和外科：上</w:t>
      </w:r>
      <w:r>
        <w:rPr>
          <w:rFonts w:ascii="微软雅黑" w:hAnsi="微软雅黑" w:eastAsia="微软雅黑" w:cs="微软雅黑"/>
          <w:sz w:val="18"/>
          <w:szCs w:val="18"/>
        </w:rPr>
        <w:t>/</w:t>
      </w:r>
      <w:r>
        <w:rPr>
          <w:rFonts w:hint="eastAsia" w:ascii="微软雅黑" w:hAnsi="微软雅黑" w:eastAsia="微软雅黑" w:cs="微软雅黑"/>
          <w:sz w:val="18"/>
          <w:szCs w:val="18"/>
        </w:rPr>
        <w:t>下肢骨折且已痊愈、意外受伤住院不超过</w:t>
      </w:r>
      <w:r>
        <w:rPr>
          <w:rFonts w:ascii="微软雅黑" w:hAnsi="微软雅黑" w:eastAsia="微软雅黑" w:cs="微软雅黑"/>
          <w:sz w:val="18"/>
          <w:szCs w:val="18"/>
        </w:rPr>
        <w:t>5</w:t>
      </w:r>
      <w:r>
        <w:rPr>
          <w:rFonts w:hint="eastAsia" w:ascii="微软雅黑" w:hAnsi="微软雅黑" w:eastAsia="微软雅黑" w:cs="微软雅黑"/>
          <w:sz w:val="18"/>
          <w:szCs w:val="18"/>
        </w:rPr>
        <w:t>天且已痊愈（无后遗症或器官缺损）、软组织损伤；</w:t>
      </w:r>
    </w:p>
    <w:p w14:paraId="375448F8">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（5）泌尿科：前列腺炎、腹股沟疝、鞘膜积液、精索静脉曲张、包皮手术；</w:t>
      </w:r>
    </w:p>
    <w:p w14:paraId="378031A1">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（6）皮肤科：痤疮、湿疹、荨麻疹、皮炎、皮下脂肪瘤、皮肤血管瘤、皮脂腺囊肿或粉瘤、脂肪瘤切除且病理良性（无异型性或不典型增生）、美容；</w:t>
      </w:r>
    </w:p>
    <w:p w14:paraId="4BFCB7AB">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（7）五官科：牙周炎、牙龈炎、龋齿、鼻/咽炎、鼻窦炎、咽峡炎、急性扁桃体炎、慢性扁桃体炎或扁桃体肥大、腺样体肥大、屈光不正（近视度数小于800度）、沙眼、睑腺炎（麦粒肿）、霰粒肿；</w:t>
      </w:r>
    </w:p>
    <w:p w14:paraId="391EEE38">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（8）儿科：婴幼儿黄疸且已治愈（未被诊断为病理性黄疸）、手足口病且已痊愈（未被诊断为重症手足口病）、疫苗接种。</w:t>
      </w:r>
    </w:p>
    <w:p w14:paraId="72A59EAD">
      <w:pPr>
        <w:pStyle w:val="9"/>
        <w:ind w:firstLine="0" w:firstLineChars="0"/>
        <w:rPr>
          <w:rFonts w:hint="eastAsia" w:ascii="微软雅黑" w:hAnsi="微软雅黑" w:eastAsia="微软雅黑" w:cs="微软雅黑"/>
          <w:sz w:val="18"/>
          <w:szCs w:val="18"/>
        </w:rPr>
      </w:pPr>
    </w:p>
    <w:p w14:paraId="56C545DD">
      <w:pPr>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6916023B"/>
    <w:p w14:paraId="0C606E33">
      <w:r>
        <w:br w:type="page"/>
      </w:r>
    </w:p>
    <w:tbl>
      <w:tblPr>
        <w:tblStyle w:val="6"/>
        <w:tblpPr w:leftFromText="180" w:rightFromText="180" w:vertAnchor="text" w:horzAnchor="page" w:tblpX="1093" w:tblpY="343"/>
        <w:tblOverlap w:val="never"/>
        <w:tblW w:w="9356" w:type="dxa"/>
        <w:tblInd w:w="0" w:type="dxa"/>
        <w:tblLayout w:type="autofit"/>
        <w:tblCellMar>
          <w:top w:w="15" w:type="dxa"/>
          <w:left w:w="15" w:type="dxa"/>
          <w:bottom w:w="15" w:type="dxa"/>
          <w:right w:w="15" w:type="dxa"/>
        </w:tblCellMar>
      </w:tblPr>
      <w:tblGrid>
        <w:gridCol w:w="1413"/>
        <w:gridCol w:w="7943"/>
      </w:tblGrid>
      <w:tr w14:paraId="70AF9691">
        <w:tblPrEx>
          <w:tblCellMar>
            <w:top w:w="15" w:type="dxa"/>
            <w:left w:w="15" w:type="dxa"/>
            <w:bottom w:w="15" w:type="dxa"/>
            <w:right w:w="15" w:type="dxa"/>
          </w:tblCellMar>
        </w:tblPrEx>
        <w:trPr>
          <w:trHeight w:val="285" w:hRule="atLeast"/>
        </w:trPr>
        <w:tc>
          <w:tcPr>
            <w:tcW w:w="9356" w:type="dxa"/>
            <w:gridSpan w:val="2"/>
            <w:tcBorders>
              <w:top w:val="single" w:color="000000" w:sz="4" w:space="0"/>
              <w:left w:val="single" w:color="000000" w:sz="4" w:space="0"/>
              <w:bottom w:val="single" w:color="000000" w:sz="4" w:space="0"/>
              <w:right w:val="single" w:color="000000" w:sz="4" w:space="0"/>
            </w:tcBorders>
            <w:vAlign w:val="center"/>
          </w:tcPr>
          <w:p w14:paraId="6A70490E">
            <w:pPr>
              <w:jc w:val="cente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b/>
                <w:kern w:val="0"/>
                <w:sz w:val="18"/>
                <w:szCs w:val="18"/>
              </w:rPr>
              <w:t>释义</w:t>
            </w:r>
          </w:p>
        </w:tc>
      </w:tr>
      <w:tr w14:paraId="5A61BCB7">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C8F8B5A">
            <w:pPr>
              <w:rPr>
                <w:rFonts w:hint="eastAsia" w:ascii="微软雅黑 Light" w:hAnsi="微软雅黑 Light" w:eastAsia="微软雅黑 Light" w:cs="微软雅黑 Light"/>
                <w:sz w:val="18"/>
                <w:szCs w:val="18"/>
                <w:highlight w:val="yellow"/>
              </w:rPr>
            </w:pPr>
            <w:r>
              <w:rPr>
                <w:rFonts w:hint="eastAsia" w:ascii="微软雅黑 Light" w:hAnsi="微软雅黑 Light" w:eastAsia="微软雅黑 Light" w:cs="微软雅黑 Light"/>
                <w:sz w:val="18"/>
                <w:szCs w:val="18"/>
                <w:highlight w:val="yellow"/>
              </w:rPr>
              <w:t>组织或细胞病理学检查</w:t>
            </w:r>
          </w:p>
        </w:tc>
        <w:tc>
          <w:tcPr>
            <w:tcW w:w="7943" w:type="dxa"/>
            <w:tcBorders>
              <w:top w:val="single" w:color="000000" w:sz="4" w:space="0"/>
              <w:left w:val="single" w:color="000000" w:sz="4" w:space="0"/>
              <w:bottom w:val="single" w:color="000000" w:sz="4" w:space="0"/>
              <w:right w:val="single" w:color="000000" w:sz="4" w:space="0"/>
            </w:tcBorders>
            <w:vAlign w:val="center"/>
          </w:tcPr>
          <w:p w14:paraId="29E1E6D8">
            <w:pPr>
              <w:rPr>
                <w:rFonts w:hint="eastAsia" w:ascii="微软雅黑 Light" w:hAnsi="微软雅黑 Light" w:eastAsia="微软雅黑 Light" w:cs="微软雅黑 Light"/>
                <w:sz w:val="18"/>
                <w:szCs w:val="18"/>
                <w:highlight w:val="yellow"/>
              </w:rPr>
            </w:pPr>
            <w:r>
              <w:rPr>
                <w:rFonts w:hint="eastAsia" w:ascii="微软雅黑 Light" w:hAnsi="微软雅黑 Light" w:eastAsia="微软雅黑 Light" w:cs="微软雅黑 Light"/>
                <w:sz w:val="18"/>
                <w:szCs w:val="18"/>
                <w:highlight w:val="yellow"/>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14:paraId="6476D264">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9E82ED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癌前病变</w:t>
            </w:r>
          </w:p>
        </w:tc>
        <w:tc>
          <w:tcPr>
            <w:tcW w:w="7943" w:type="dxa"/>
            <w:tcBorders>
              <w:top w:val="single" w:color="000000" w:sz="4" w:space="0"/>
              <w:left w:val="single" w:color="000000" w:sz="4" w:space="0"/>
              <w:bottom w:val="single" w:color="000000" w:sz="4" w:space="0"/>
              <w:right w:val="single" w:color="000000" w:sz="4" w:space="0"/>
            </w:tcBorders>
            <w:vAlign w:val="center"/>
          </w:tcPr>
          <w:p w14:paraId="6B59860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14:paraId="1EFB6856">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D72344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2级或以上高血压</w:t>
            </w:r>
          </w:p>
        </w:tc>
        <w:tc>
          <w:tcPr>
            <w:tcW w:w="7943" w:type="dxa"/>
            <w:tcBorders>
              <w:top w:val="single" w:color="000000" w:sz="4" w:space="0"/>
              <w:left w:val="single" w:color="000000" w:sz="4" w:space="0"/>
              <w:bottom w:val="single" w:color="000000" w:sz="4" w:space="0"/>
              <w:right w:val="single" w:color="000000" w:sz="4" w:space="0"/>
            </w:tcBorders>
            <w:vAlign w:val="center"/>
          </w:tcPr>
          <w:p w14:paraId="614B40A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指无基础疾病的原发性高血压，在未服用降压药的情况下，收缩压</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160mmHg，和/或舒张压</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100mmHg。</w:t>
            </w:r>
          </w:p>
        </w:tc>
      </w:tr>
      <w:tr w14:paraId="22EB5BBE">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DDE6AC8">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糖尿病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48B355B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是一组以高血糖为特征的代谢性疾病，长期存在的高血糖，导致各种组织，特别是眼、肾、心脏、血管、神经的慢性损害、功能障碍。空腹血糖</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7.0mmol/l，和/或餐后两小时血糖</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11.1mmol/l，和/或糖化血红蛋白</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6.5%即可确诊。</w:t>
            </w:r>
          </w:p>
        </w:tc>
      </w:tr>
      <w:tr w14:paraId="4328D949">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A2B45D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冠心病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29231D5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14:paraId="6F341B97">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1124A11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心肌病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45447B1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14:paraId="4F05EFE5">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D136D1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心梗</w:t>
            </w:r>
          </w:p>
        </w:tc>
        <w:tc>
          <w:tcPr>
            <w:tcW w:w="7943" w:type="dxa"/>
            <w:tcBorders>
              <w:top w:val="single" w:color="000000" w:sz="4" w:space="0"/>
              <w:left w:val="single" w:color="000000" w:sz="4" w:space="0"/>
              <w:bottom w:val="single" w:color="000000" w:sz="4" w:space="0"/>
              <w:right w:val="single" w:color="000000" w:sz="4" w:space="0"/>
            </w:tcBorders>
            <w:vAlign w:val="center"/>
          </w:tcPr>
          <w:p w14:paraId="2D4BC65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14:paraId="5E7E1A0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1D105A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严重心律失常</w:t>
            </w:r>
          </w:p>
        </w:tc>
        <w:tc>
          <w:tcPr>
            <w:tcW w:w="7943" w:type="dxa"/>
            <w:tcBorders>
              <w:top w:val="single" w:color="000000" w:sz="4" w:space="0"/>
              <w:left w:val="single" w:color="000000" w:sz="4" w:space="0"/>
              <w:bottom w:val="single" w:color="000000" w:sz="4" w:space="0"/>
              <w:right w:val="single" w:color="000000" w:sz="4" w:space="0"/>
            </w:tcBorders>
            <w:vAlign w:val="center"/>
          </w:tcPr>
          <w:p w14:paraId="3AD37D63">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14:paraId="0093AADF">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6B8667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心功能不全二级（含）以上</w:t>
            </w:r>
          </w:p>
        </w:tc>
        <w:tc>
          <w:tcPr>
            <w:tcW w:w="7943" w:type="dxa"/>
            <w:tcBorders>
              <w:top w:val="single" w:color="000000" w:sz="4" w:space="0"/>
              <w:left w:val="single" w:color="000000" w:sz="4" w:space="0"/>
              <w:bottom w:val="single" w:color="000000" w:sz="4" w:space="0"/>
              <w:right w:val="single" w:color="000000" w:sz="4" w:space="0"/>
            </w:tcBorders>
            <w:vAlign w:val="center"/>
          </w:tcPr>
          <w:p w14:paraId="0B3EBAD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14:paraId="169CE24D">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C0EE6C8">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精神类疾病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22B86239">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包括各种</w:t>
            </w:r>
            <w:r>
              <w:fldChar w:fldCharType="begin"/>
            </w:r>
            <w:r>
              <w:instrText xml:space="preserve"> HYPERLINK "https://baike.baidu.com/item/%E7%B2%BE%E7%A5%9E%E7%97%85/920" \t "https://baike.baidu.com/item/%E7%B2%BE%E7%A5%9E%E7%97%85%E5%AD%A6/_blank" </w:instrText>
            </w:r>
            <w:r>
              <w:fldChar w:fldCharType="separate"/>
            </w:r>
            <w:r>
              <w:rPr>
                <w:rFonts w:hint="eastAsia" w:ascii="微软雅黑 Light" w:hAnsi="微软雅黑 Light" w:eastAsia="微软雅黑 Light" w:cs="微软雅黑 Light"/>
                <w:sz w:val="18"/>
                <w:szCs w:val="18"/>
              </w:rPr>
              <w:t>精神病</w:t>
            </w:r>
            <w:r>
              <w:rPr>
                <w:rFonts w:hint="eastAsia" w:ascii="微软雅黑 Light" w:hAnsi="微软雅黑 Light" w:eastAsia="微软雅黑 Light" w:cs="微软雅黑 Light"/>
                <w:sz w:val="18"/>
                <w:szCs w:val="18"/>
              </w:rPr>
              <w:fldChar w:fldCharType="end"/>
            </w:r>
            <w:r>
              <w:rPr>
                <w:rFonts w:hint="eastAsia" w:ascii="微软雅黑 Light" w:hAnsi="微软雅黑 Light" w:eastAsia="微软雅黑 Light" w:cs="微软雅黑 Light"/>
                <w:sz w:val="18"/>
                <w:szCs w:val="18"/>
              </w:rPr>
              <w:t>、神经症、心身疾病或伴随躯体疾病的精神障碍、沟通适应障碍、</w:t>
            </w:r>
            <w:r>
              <w:fldChar w:fldCharType="begin"/>
            </w:r>
            <w:r>
              <w:instrText xml:space="preserve"> HYPERLINK "https://baike.baidu.com/item/%E4%BA%BA%E6%A0%BC%E9%9A%9C%E7%A2%8D/3169525" \t "https://baike.baidu.com/item/%E7%B2%BE%E7%A5%9E%E7%97%85%E5%AD%A6/_blank" </w:instrText>
            </w:r>
            <w:r>
              <w:fldChar w:fldCharType="separate"/>
            </w:r>
            <w:r>
              <w:rPr>
                <w:rFonts w:hint="eastAsia" w:ascii="微软雅黑 Light" w:hAnsi="微软雅黑 Light" w:eastAsia="微软雅黑 Light" w:cs="微软雅黑 Light"/>
                <w:sz w:val="18"/>
                <w:szCs w:val="18"/>
              </w:rPr>
              <w:t>人格障碍</w:t>
            </w:r>
            <w:r>
              <w:rPr>
                <w:rFonts w:hint="eastAsia" w:ascii="微软雅黑 Light" w:hAnsi="微软雅黑 Light" w:eastAsia="微软雅黑 Light" w:cs="微软雅黑 Light"/>
                <w:sz w:val="18"/>
                <w:szCs w:val="18"/>
              </w:rPr>
              <w:fldChar w:fldCharType="end"/>
            </w:r>
            <w:r>
              <w:rPr>
                <w:rFonts w:hint="eastAsia" w:ascii="微软雅黑 Light" w:hAnsi="微软雅黑 Light" w:eastAsia="微软雅黑 Light" w:cs="微软雅黑 Light"/>
                <w:sz w:val="18"/>
                <w:szCs w:val="18"/>
              </w:rPr>
              <w:t>、性心理偏异，以及诸多类别的儿童智能或品德发育障碍，依据世界卫生组织《疾病和有关健康问题的国际统计分类》（ICD10）分类为精神和行为障碍的疾病。</w:t>
            </w:r>
          </w:p>
        </w:tc>
      </w:tr>
      <w:tr w14:paraId="701D77E4">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1BA2634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脑卒中</w:t>
            </w:r>
          </w:p>
        </w:tc>
        <w:tc>
          <w:tcPr>
            <w:tcW w:w="7943" w:type="dxa"/>
            <w:tcBorders>
              <w:top w:val="single" w:color="000000" w:sz="4" w:space="0"/>
              <w:left w:val="single" w:color="000000" w:sz="4" w:space="0"/>
              <w:bottom w:val="single" w:color="000000" w:sz="4" w:space="0"/>
              <w:right w:val="single" w:color="000000" w:sz="4" w:space="0"/>
            </w:tcBorders>
            <w:vAlign w:val="center"/>
          </w:tcPr>
          <w:p w14:paraId="3FC7D40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14:paraId="7D2C696D">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58D48E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慢性肾病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0831E50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诊断为肾小球肾炎，隐匿性肾炎，肾盂肾炎，过敏性紫癜肾炎，红斑狼疮肾炎，痛风肾，IgA肾病，肾病综合征，膜性肾病，肾病综合征，糖尿病肾病，高血压肾病，多囊肾，等等，当这些肾病的发病迁延难愈或反复，时间超过三个月，病人尿液和相关的血液指标出现异常，肾脏病理学，影像学发现异常，或发生肾功能不全，都可统称为“慢性肾病”。</w:t>
            </w:r>
          </w:p>
        </w:tc>
      </w:tr>
      <w:tr w14:paraId="33822E6A">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BD56EA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肾功能不全</w:t>
            </w:r>
          </w:p>
        </w:tc>
        <w:tc>
          <w:tcPr>
            <w:tcW w:w="7943" w:type="dxa"/>
            <w:tcBorders>
              <w:top w:val="single" w:color="000000" w:sz="4" w:space="0"/>
              <w:left w:val="single" w:color="000000" w:sz="4" w:space="0"/>
              <w:bottom w:val="single" w:color="000000" w:sz="4" w:space="0"/>
              <w:right w:val="single" w:color="000000" w:sz="4" w:space="0"/>
            </w:tcBorders>
            <w:vAlign w:val="center"/>
          </w:tcPr>
          <w:p w14:paraId="3603312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14:paraId="726DB15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43B72A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肝炎病毒携带者</w:t>
            </w:r>
          </w:p>
        </w:tc>
        <w:tc>
          <w:tcPr>
            <w:tcW w:w="7943" w:type="dxa"/>
            <w:tcBorders>
              <w:top w:val="single" w:color="000000" w:sz="4" w:space="0"/>
              <w:left w:val="single" w:color="000000" w:sz="4" w:space="0"/>
              <w:bottom w:val="single" w:color="000000" w:sz="4" w:space="0"/>
              <w:right w:val="single" w:color="000000" w:sz="4" w:space="0"/>
            </w:tcBorders>
            <w:vAlign w:val="center"/>
          </w:tcPr>
          <w:p w14:paraId="17AA117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体内带有肝炎病原，但无临床症状的人。如乙肝病毒携带者，就是指血液检测单独乙型肝炎表面抗原阳性，但无肝炎症状和体征，各项肝功能检查长期正常。</w:t>
            </w:r>
          </w:p>
        </w:tc>
      </w:tr>
      <w:tr w14:paraId="4C99ADCA">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31C636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肝功能衰竭</w:t>
            </w:r>
          </w:p>
        </w:tc>
        <w:tc>
          <w:tcPr>
            <w:tcW w:w="7943" w:type="dxa"/>
            <w:tcBorders>
              <w:top w:val="single" w:color="000000" w:sz="4" w:space="0"/>
              <w:left w:val="single" w:color="000000" w:sz="4" w:space="0"/>
              <w:bottom w:val="single" w:color="000000" w:sz="4" w:space="0"/>
              <w:right w:val="single" w:color="000000" w:sz="4" w:space="0"/>
            </w:tcBorders>
            <w:vAlign w:val="center"/>
          </w:tcPr>
          <w:p w14:paraId="331F234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肝细胞受到广泛，严重损害，机体代谢功能发生严重紊乱而出现的临床综合征，简称肝衰竭。一般分为暴发性肝衰竭和慢性肝衰竭两种。</w:t>
            </w:r>
            <w:r>
              <w:rPr>
                <w:rFonts w:hint="eastAsia" w:ascii="微软雅黑 Light" w:hAnsi="微软雅黑 Light" w:eastAsia="微软雅黑 Light" w:cs="微软雅黑 Light"/>
                <w:sz w:val="18"/>
                <w:szCs w:val="18"/>
              </w:rPr>
              <w:br w:type="textWrapping"/>
            </w:r>
            <w:r>
              <w:rPr>
                <w:rFonts w:hint="eastAsia" w:ascii="微软雅黑 Light" w:hAnsi="微软雅黑 Light" w:eastAsia="微软雅黑 Light" w:cs="微软雅黑 Light"/>
                <w:sz w:val="18"/>
                <w:szCs w:val="18"/>
              </w:rPr>
              <w:t>暴发性肝衰竭有以下表现： ①肝性脑病，又称肝昏迷。②黄疸。③出血。可出现皮肤出血点，瘀斑，呕血，便血，衄血等。④脑水肿，肺水肿。⑤腹水。</w:t>
            </w:r>
            <w:r>
              <w:rPr>
                <w:rFonts w:hint="eastAsia" w:ascii="微软雅黑 Light" w:hAnsi="微软雅黑 Light" w:eastAsia="微软雅黑 Light" w:cs="微软雅黑 Light"/>
                <w:sz w:val="18"/>
                <w:szCs w:val="18"/>
              </w:rPr>
              <w:br w:type="textWrapping"/>
            </w:r>
            <w:r>
              <w:rPr>
                <w:rFonts w:hint="eastAsia" w:ascii="微软雅黑 Light" w:hAnsi="微软雅黑 Light" w:eastAsia="微软雅黑 Light" w:cs="微软雅黑 Light"/>
                <w:sz w:val="18"/>
                <w:szCs w:val="18"/>
              </w:rPr>
              <w:t>慢性肝衰竭是在肝硬化基础上，肝功能进行性减退导致的以腹水或门静脉高压，凝血功能障碍和肝性脑病等为主要表现的慢性肝功能失代偿。</w:t>
            </w:r>
          </w:p>
        </w:tc>
      </w:tr>
      <w:tr w14:paraId="54D66AA3">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EAD0B6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克罗恩病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0F9B534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又称克隆病，局限性回肠炎，局限性肠炎，节段性肠炎和肉芽肿性肠炎，是一种原因不明的肠道炎症性疾病。本病和慢性非特异性溃疡性结肠炎两者统称为炎症性肠病。</w:t>
            </w:r>
          </w:p>
        </w:tc>
      </w:tr>
      <w:tr w14:paraId="7FC885D2">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0C5D09F">
            <w:pPr>
              <w:widowControl/>
              <w:jc w:val="left"/>
              <w:textAlignment w:val="cente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color w:val="000000"/>
                <w:kern w:val="0"/>
                <w:sz w:val="18"/>
                <w:szCs w:val="18"/>
                <w:lang w:bidi="ar"/>
              </w:rPr>
              <w:t>骨髓增生异常</w:t>
            </w:r>
          </w:p>
        </w:tc>
        <w:tc>
          <w:tcPr>
            <w:tcW w:w="7943" w:type="dxa"/>
            <w:tcBorders>
              <w:top w:val="single" w:color="000000" w:sz="4" w:space="0"/>
              <w:left w:val="single" w:color="000000" w:sz="4" w:space="0"/>
              <w:bottom w:val="single" w:color="000000" w:sz="4" w:space="0"/>
              <w:right w:val="single" w:color="000000" w:sz="4" w:space="0"/>
            </w:tcBorders>
            <w:vAlign w:val="center"/>
          </w:tcPr>
          <w:p w14:paraId="7FE142B1">
            <w:pPr>
              <w:widowControl/>
              <w:jc w:val="left"/>
              <w:textAlignment w:val="cente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14:paraId="3689782B">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AC2BD8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多发性硬化</w:t>
            </w:r>
          </w:p>
        </w:tc>
        <w:tc>
          <w:tcPr>
            <w:tcW w:w="7943" w:type="dxa"/>
            <w:tcBorders>
              <w:top w:val="single" w:color="000000" w:sz="4" w:space="0"/>
              <w:left w:val="single" w:color="000000" w:sz="4" w:space="0"/>
              <w:bottom w:val="single" w:color="000000" w:sz="4" w:space="0"/>
              <w:right w:val="single" w:color="000000" w:sz="4" w:space="0"/>
            </w:tcBorders>
            <w:vAlign w:val="center"/>
          </w:tcPr>
          <w:p w14:paraId="2BECCD3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发性硬化是以中枢神经系统白质炎性脱髓鞘病变为主要特点的自身免疫病。本病最常累及的部位为脑室周围白质，视神经，脊髓，脑干和小脑，主要临床特点为中枢神经系统白质散在分布的多病灶与病程中呈现的缓解复发，症状和体征的空间多发性和病程的时间多发性。</w:t>
            </w:r>
          </w:p>
        </w:tc>
      </w:tr>
      <w:tr w14:paraId="2C5BD9F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E733FB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间质性肺病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1661433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是以肺泡壁为主要病变所引起的一组疾病群，是以弥漫性肺实质，肺泡炎和间质纤维化为病理基本改变，以活动性呼吸困难，X 线胸片示弥漫阴影，限制性通气障碍，弥散功能(DLCO)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14:paraId="0052F2CF">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AC4A0EE">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慢性阻塞性肺病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445EB50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14:paraId="33EF163A">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939A3F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先天发育异常或畸形</w:t>
            </w:r>
          </w:p>
        </w:tc>
        <w:tc>
          <w:tcPr>
            <w:tcW w:w="7943" w:type="dxa"/>
            <w:tcBorders>
              <w:top w:val="single" w:color="000000" w:sz="4" w:space="0"/>
              <w:left w:val="single" w:color="000000" w:sz="4" w:space="0"/>
              <w:bottom w:val="single" w:color="000000" w:sz="4" w:space="0"/>
              <w:right w:val="single" w:color="000000" w:sz="4" w:space="0"/>
            </w:tcBorders>
            <w:vAlign w:val="center"/>
          </w:tcPr>
          <w:p w14:paraId="0353765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各类先天因素（包括怀孕期间的环境因素，母体因素，家庭遗传等）导致一出生就有的疾病或异常。</w:t>
            </w:r>
          </w:p>
        </w:tc>
      </w:tr>
      <w:tr w14:paraId="34D47DE9">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6346F9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遗传性疾病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54AABAFE">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指生殖细胞或受精卵的遗传物质（染色体和基因）发生突变或畸变所引起的疾病，通常具有由亲代传至后代的垂直传递的特征。常为先天性的，也可后天发病。</w:t>
            </w:r>
          </w:p>
        </w:tc>
      </w:tr>
      <w:tr w14:paraId="5658D508">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6EF331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法定传染病（含甲类和乙类）</w:t>
            </w:r>
          </w:p>
        </w:tc>
        <w:tc>
          <w:tcPr>
            <w:tcW w:w="7943" w:type="dxa"/>
            <w:tcBorders>
              <w:top w:val="single" w:color="000000" w:sz="4" w:space="0"/>
              <w:left w:val="single" w:color="000000" w:sz="4" w:space="0"/>
              <w:bottom w:val="single" w:color="000000" w:sz="4" w:space="0"/>
              <w:right w:val="single" w:color="000000" w:sz="4" w:space="0"/>
            </w:tcBorders>
            <w:vAlign w:val="center"/>
          </w:tcPr>
          <w:p w14:paraId="3188560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甲类传染病也称为强制管理传染病，包括：鼠疫，霍乱，共2种；乙类传染病也称为严格管理传染病，共27种包括：新型冠状病毒肺炎，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14:paraId="602A5252">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EA384F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瘫痪</w:t>
            </w:r>
          </w:p>
        </w:tc>
        <w:tc>
          <w:tcPr>
            <w:tcW w:w="7943" w:type="dxa"/>
            <w:tcBorders>
              <w:top w:val="single" w:color="000000" w:sz="4" w:space="0"/>
              <w:left w:val="single" w:color="000000" w:sz="4" w:space="0"/>
              <w:bottom w:val="single" w:color="000000" w:sz="4" w:space="0"/>
              <w:right w:val="single" w:color="000000" w:sz="4" w:space="0"/>
            </w:tcBorders>
            <w:vAlign w:val="center"/>
          </w:tcPr>
          <w:p w14:paraId="622FD5C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14:paraId="1E02BD46">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2A4F1C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严重视力障碍</w:t>
            </w:r>
          </w:p>
        </w:tc>
        <w:tc>
          <w:tcPr>
            <w:tcW w:w="7943" w:type="dxa"/>
            <w:tcBorders>
              <w:top w:val="single" w:color="000000" w:sz="4" w:space="0"/>
              <w:left w:val="single" w:color="000000" w:sz="4" w:space="0"/>
              <w:bottom w:val="single" w:color="000000" w:sz="4" w:space="0"/>
              <w:right w:val="single" w:color="000000" w:sz="4" w:space="0"/>
            </w:tcBorders>
            <w:vAlign w:val="center"/>
          </w:tcPr>
          <w:p w14:paraId="1CDB240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包括：1.因各种原因导致完全的，不可逆的视力丧失（含双眼或单眼）；2.最佳矫正视力在0.3以下，或伴视野缩小；3.由于全身性疾病导致的视觉障碍或者进行性性视力下降</w:t>
            </w:r>
          </w:p>
        </w:tc>
      </w:tr>
      <w:tr w14:paraId="70F48EE8">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6A23E2E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严重听力障碍</w:t>
            </w:r>
          </w:p>
        </w:tc>
        <w:tc>
          <w:tcPr>
            <w:tcW w:w="7943" w:type="dxa"/>
            <w:tcBorders>
              <w:top w:val="single" w:color="000000" w:sz="4" w:space="0"/>
              <w:left w:val="single" w:color="000000" w:sz="4" w:space="0"/>
              <w:bottom w:val="single" w:color="000000" w:sz="4" w:space="0"/>
              <w:right w:val="single" w:color="000000" w:sz="4" w:space="0"/>
            </w:tcBorders>
            <w:vAlign w:val="center"/>
          </w:tcPr>
          <w:p w14:paraId="7DC45B6E">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14:paraId="567BB765">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11B5589">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中重度残疾</w:t>
            </w:r>
          </w:p>
        </w:tc>
        <w:tc>
          <w:tcPr>
            <w:tcW w:w="7943" w:type="dxa"/>
            <w:tcBorders>
              <w:top w:val="single" w:color="000000" w:sz="4" w:space="0"/>
              <w:left w:val="single" w:color="000000" w:sz="4" w:space="0"/>
              <w:bottom w:val="single" w:color="000000" w:sz="4" w:space="0"/>
              <w:right w:val="single" w:color="000000" w:sz="4" w:space="0"/>
            </w:tcBorders>
            <w:vAlign w:val="center"/>
          </w:tcPr>
          <w:p w14:paraId="40AD615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 1. 视力残疾中的一级盲，二级盲； 2. 听力残疾中的一级； 3. 言语残疾中的一级； 4. 肢体残疾中的一级； 5.智力残疾中的一，二级。残疾类别，等级以《中华人民共和国残疾人证》的认定为准。</w:t>
            </w:r>
          </w:p>
        </w:tc>
      </w:tr>
      <w:tr w14:paraId="05F9B18D">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63377C6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抽搐</w:t>
            </w:r>
          </w:p>
        </w:tc>
        <w:tc>
          <w:tcPr>
            <w:tcW w:w="7943" w:type="dxa"/>
            <w:tcBorders>
              <w:top w:val="single" w:color="000000" w:sz="4" w:space="0"/>
              <w:left w:val="single" w:color="000000" w:sz="4" w:space="0"/>
              <w:bottom w:val="single" w:color="000000" w:sz="4" w:space="0"/>
              <w:right w:val="single" w:color="000000" w:sz="4" w:space="0"/>
            </w:tcBorders>
            <w:vAlign w:val="center"/>
          </w:tcPr>
          <w:p w14:paraId="62AC45A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是不随意运动的表现，是神经－肌肉疾病的病理现象。临床上常见的有如下几种：惊厥，强直性痉挛，肌阵挛，震颤，舞蹈样动作，手足徐动，扭转痉挛，肌束颤动，习惯性抽搐。</w:t>
            </w:r>
          </w:p>
        </w:tc>
      </w:tr>
      <w:tr w14:paraId="1BE47AD5">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71D2E6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血尿</w:t>
            </w:r>
          </w:p>
        </w:tc>
        <w:tc>
          <w:tcPr>
            <w:tcW w:w="7943" w:type="dxa"/>
            <w:tcBorders>
              <w:top w:val="single" w:color="000000" w:sz="4" w:space="0"/>
              <w:left w:val="single" w:color="000000" w:sz="4" w:space="0"/>
              <w:bottom w:val="single" w:color="000000" w:sz="4" w:space="0"/>
              <w:right w:val="single" w:color="000000" w:sz="4" w:space="0"/>
            </w:tcBorders>
            <w:vAlign w:val="center"/>
          </w:tcPr>
          <w:p w14:paraId="158B4BB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14:paraId="56A609D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748FE9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蛋白尿</w:t>
            </w:r>
          </w:p>
        </w:tc>
        <w:tc>
          <w:tcPr>
            <w:tcW w:w="7943" w:type="dxa"/>
            <w:tcBorders>
              <w:top w:val="single" w:color="000000" w:sz="4" w:space="0"/>
              <w:left w:val="single" w:color="000000" w:sz="4" w:space="0"/>
              <w:bottom w:val="single" w:color="000000" w:sz="4" w:space="0"/>
              <w:right w:val="single" w:color="000000" w:sz="4" w:space="0"/>
            </w:tcBorders>
            <w:vAlign w:val="center"/>
          </w:tcPr>
          <w:p w14:paraId="365ADB9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当尿中蛋白质含量增加，普通尿常规检查即可测出尿蛋白定量50mg/dl及以上，或150mg/24h及以上；尿蛋白定性（+）及以上。</w:t>
            </w:r>
          </w:p>
        </w:tc>
      </w:tr>
      <w:tr w14:paraId="5DB797A1">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AD35CF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葡萄胎</w:t>
            </w:r>
          </w:p>
        </w:tc>
        <w:tc>
          <w:tcPr>
            <w:tcW w:w="7943" w:type="dxa"/>
            <w:tcBorders>
              <w:top w:val="single" w:color="000000" w:sz="4" w:space="0"/>
              <w:left w:val="single" w:color="000000" w:sz="4" w:space="0"/>
              <w:bottom w:val="single" w:color="000000" w:sz="4" w:space="0"/>
              <w:right w:val="single" w:color="000000" w:sz="4" w:space="0"/>
            </w:tcBorders>
            <w:vAlign w:val="center"/>
          </w:tcPr>
          <w:p w14:paraId="59A3030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葡萄胎是指妊娠后胎盘绒毛滋养细胞增生，间质高度水肿，形成大小不一的水泡，水泡间相连成串，形如葡萄，亦称水泡状胎块。有完全性和部分性之分。</w:t>
            </w:r>
          </w:p>
        </w:tc>
      </w:tr>
      <w:tr w14:paraId="59AE4B28">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6740D9E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妊娠滋养细胞疾病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3DF4214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14:paraId="24811511">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E86229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多囊卵巢综合征</w:t>
            </w:r>
          </w:p>
        </w:tc>
        <w:tc>
          <w:tcPr>
            <w:tcW w:w="7943" w:type="dxa"/>
            <w:tcBorders>
              <w:top w:val="single" w:color="000000" w:sz="4" w:space="0"/>
              <w:left w:val="single" w:color="000000" w:sz="4" w:space="0"/>
              <w:bottom w:val="single" w:color="000000" w:sz="4" w:space="0"/>
              <w:right w:val="single" w:color="000000" w:sz="4" w:space="0"/>
            </w:tcBorders>
            <w:vAlign w:val="center"/>
          </w:tcPr>
          <w:p w14:paraId="4AEA95C9">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14:paraId="36268FEC">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711E6E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阴道异常出血</w:t>
            </w:r>
          </w:p>
        </w:tc>
        <w:tc>
          <w:tcPr>
            <w:tcW w:w="7943" w:type="dxa"/>
            <w:tcBorders>
              <w:top w:val="single" w:color="000000" w:sz="4" w:space="0"/>
              <w:left w:val="single" w:color="000000" w:sz="4" w:space="0"/>
              <w:bottom w:val="single" w:color="000000" w:sz="4" w:space="0"/>
              <w:right w:val="single" w:color="000000" w:sz="4" w:space="0"/>
            </w:tcBorders>
            <w:vAlign w:val="center"/>
          </w:tcPr>
          <w:p w14:paraId="54D2CD9B">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是指除正常的月经出血外，所表现为的经量过多，经期过长，周期不规则出血，接触性出血，阵发性阴道血水，停经后不规则出血等现象。</w:t>
            </w:r>
          </w:p>
        </w:tc>
      </w:tr>
      <w:tr w14:paraId="1B8D44D9">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06C17B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早产</w:t>
            </w:r>
          </w:p>
        </w:tc>
        <w:tc>
          <w:tcPr>
            <w:tcW w:w="7943" w:type="dxa"/>
            <w:tcBorders>
              <w:top w:val="single" w:color="000000" w:sz="4" w:space="0"/>
              <w:left w:val="single" w:color="000000" w:sz="4" w:space="0"/>
              <w:bottom w:val="single" w:color="000000" w:sz="4" w:space="0"/>
              <w:right w:val="single" w:color="000000" w:sz="4" w:space="0"/>
            </w:tcBorders>
            <w:vAlign w:val="center"/>
          </w:tcPr>
          <w:p w14:paraId="4DD5BBA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是指在满28孕周至37孕周之间（196～258天）的分娩。</w:t>
            </w:r>
          </w:p>
        </w:tc>
      </w:tr>
      <w:tr w14:paraId="1718BFF2">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159700D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窒息</w:t>
            </w:r>
          </w:p>
        </w:tc>
        <w:tc>
          <w:tcPr>
            <w:tcW w:w="7943" w:type="dxa"/>
            <w:tcBorders>
              <w:top w:val="single" w:color="000000" w:sz="4" w:space="0"/>
              <w:left w:val="single" w:color="000000" w:sz="4" w:space="0"/>
              <w:bottom w:val="single" w:color="000000" w:sz="4" w:space="0"/>
              <w:right w:val="single" w:color="000000" w:sz="4" w:space="0"/>
            </w:tcBorders>
            <w:vAlign w:val="center"/>
          </w:tcPr>
          <w:p w14:paraId="5D0800E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14:paraId="59C45A81">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B8868B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发育迟缓</w:t>
            </w:r>
          </w:p>
        </w:tc>
        <w:tc>
          <w:tcPr>
            <w:tcW w:w="7943" w:type="dxa"/>
            <w:tcBorders>
              <w:top w:val="single" w:color="000000" w:sz="4" w:space="0"/>
              <w:left w:val="single" w:color="000000" w:sz="4" w:space="0"/>
              <w:bottom w:val="single" w:color="000000" w:sz="4" w:space="0"/>
              <w:right w:val="single" w:color="000000" w:sz="4" w:space="0"/>
            </w:tcBorders>
            <w:vAlign w:val="center"/>
          </w:tcPr>
          <w:p w14:paraId="2B25874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是指在生长发育过程中出现速度放慢或是顺序异常等现象。包含：1.体格发育落后；2.运动发育落后；3.语言发育落后；4.智力发育落后；5.心理发展落后等。</w:t>
            </w:r>
          </w:p>
        </w:tc>
      </w:tr>
      <w:tr w14:paraId="253CFEB7">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CD0F648">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脑瘫</w:t>
            </w:r>
          </w:p>
        </w:tc>
        <w:tc>
          <w:tcPr>
            <w:tcW w:w="7943" w:type="dxa"/>
            <w:tcBorders>
              <w:top w:val="single" w:color="000000" w:sz="4" w:space="0"/>
              <w:left w:val="single" w:color="000000" w:sz="4" w:space="0"/>
              <w:bottom w:val="single" w:color="000000" w:sz="4" w:space="0"/>
              <w:right w:val="single" w:color="000000" w:sz="4" w:space="0"/>
            </w:tcBorders>
            <w:vAlign w:val="center"/>
          </w:tcPr>
          <w:p w14:paraId="578505D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bl>
    <w:p w14:paraId="30047984"/>
    <w:p w14:paraId="36B677EC"/>
    <w:sectPr>
      <w:pgSz w:w="11906" w:h="16838"/>
      <w:pgMar w:top="1440" w:right="1080" w:bottom="1440" w:left="108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 柯南" w:date="2022-11-24T14:04:00Z" w:initials="李">
    <w:p w14:paraId="4C1EF665">
      <w:pPr>
        <w:pStyle w:val="2"/>
      </w:pPr>
      <w:r>
        <w:rPr>
          <w:rFonts w:hint="eastAsia"/>
        </w:rPr>
        <w:t>展示方式一：前、后均空一行，按照当前格式展示，建议高亮或显示醒目</w:t>
      </w:r>
    </w:p>
    <w:p w14:paraId="5ADF604C">
      <w:pPr>
        <w:pStyle w:val="2"/>
      </w:pPr>
    </w:p>
    <w:p w14:paraId="467E3B1F">
      <w:pPr>
        <w:pStyle w:val="2"/>
      </w:pPr>
      <w:r>
        <w:rPr>
          <w:rFonts w:hint="eastAsia"/>
        </w:rPr>
        <w:t>展示方式二：此段落做区别于黑色的提醒，举例如下图：</w:t>
      </w:r>
    </w:p>
    <w:p w14:paraId="73AEE33C">
      <w:pPr>
        <w:pStyle w:val="2"/>
      </w:pPr>
      <w:r>
        <w:drawing>
          <wp:inline distT="0" distB="0" distL="0" distR="0">
            <wp:extent cx="4685665" cy="1685290"/>
            <wp:effectExtent l="0" t="0" r="635" b="0"/>
            <wp:docPr id="1903730236"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730236" name="图片 2"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2228801A">
      <w:pPr>
        <w:pStyle w:val="2"/>
      </w:pPr>
      <w:r>
        <w:drawing>
          <wp:inline distT="0" distB="0" distL="0" distR="0">
            <wp:extent cx="4552315" cy="1294765"/>
            <wp:effectExtent l="0" t="0" r="635" b="635"/>
            <wp:docPr id="270278333"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278333" name="图片 1" descr="Imag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228801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9434D"/>
    <w:multiLevelType w:val="multilevel"/>
    <w:tmpl w:val="1149434D"/>
    <w:lvl w:ilvl="0" w:tentative="0">
      <w:start w:val="1"/>
      <w:numFmt w:val="decimal"/>
      <w:lvlText w:val="%1)"/>
      <w:lvlJc w:val="left"/>
      <w:pPr>
        <w:ind w:left="440" w:hanging="440"/>
      </w:pPr>
      <w:rPr>
        <w:b w:val="0"/>
        <w:bCs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4A585EA8"/>
    <w:multiLevelType w:val="multilevel"/>
    <w:tmpl w:val="4A585EA8"/>
    <w:lvl w:ilvl="0" w:tentative="0">
      <w:start w:val="1"/>
      <w:numFmt w:val="decimal"/>
      <w:lvlText w:val="%1)"/>
      <w:lvlJc w:val="left"/>
      <w:pPr>
        <w:ind w:left="440" w:hanging="440"/>
      </w:pPr>
      <w:rPr>
        <w:b/>
        <w:bCs/>
        <w:sz w:val="18"/>
        <w:szCs w:val="18"/>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73E2B22"/>
    <w:multiLevelType w:val="multilevel"/>
    <w:tmpl w:val="573E2B22"/>
    <w:lvl w:ilvl="0" w:tentative="0">
      <w:start w:val="1"/>
      <w:numFmt w:val="decimal"/>
      <w:lvlText w:val="%1."/>
      <w:lvlJc w:val="left"/>
      <w:pPr>
        <w:ind w:left="440" w:hanging="440"/>
      </w:pPr>
      <w:rPr>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 柯南">
    <w15:presenceInfo w15:providerId="None" w15:userId="李 柯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F83186"/>
    <w:rsid w:val="00030CDB"/>
    <w:rsid w:val="00040E0E"/>
    <w:rsid w:val="000651CE"/>
    <w:rsid w:val="000C6715"/>
    <w:rsid w:val="00157283"/>
    <w:rsid w:val="001830B0"/>
    <w:rsid w:val="001C0488"/>
    <w:rsid w:val="001D2EDC"/>
    <w:rsid w:val="00206A8A"/>
    <w:rsid w:val="00231254"/>
    <w:rsid w:val="0023259C"/>
    <w:rsid w:val="00242AE3"/>
    <w:rsid w:val="002636C6"/>
    <w:rsid w:val="0027026D"/>
    <w:rsid w:val="00287858"/>
    <w:rsid w:val="00297631"/>
    <w:rsid w:val="002C1CF8"/>
    <w:rsid w:val="002D28E6"/>
    <w:rsid w:val="002D4851"/>
    <w:rsid w:val="00310AA3"/>
    <w:rsid w:val="00325489"/>
    <w:rsid w:val="00350314"/>
    <w:rsid w:val="00353D88"/>
    <w:rsid w:val="00374F49"/>
    <w:rsid w:val="003F6A35"/>
    <w:rsid w:val="00416A45"/>
    <w:rsid w:val="004405C4"/>
    <w:rsid w:val="00490F76"/>
    <w:rsid w:val="004C280F"/>
    <w:rsid w:val="004C658A"/>
    <w:rsid w:val="004E14CB"/>
    <w:rsid w:val="005763F2"/>
    <w:rsid w:val="005963B7"/>
    <w:rsid w:val="005A7FAE"/>
    <w:rsid w:val="005D4767"/>
    <w:rsid w:val="005E291B"/>
    <w:rsid w:val="005E546C"/>
    <w:rsid w:val="005E6A9A"/>
    <w:rsid w:val="005E7E03"/>
    <w:rsid w:val="00635C85"/>
    <w:rsid w:val="006468A8"/>
    <w:rsid w:val="006637BE"/>
    <w:rsid w:val="006702CD"/>
    <w:rsid w:val="00692EBA"/>
    <w:rsid w:val="006C04E8"/>
    <w:rsid w:val="006C52E7"/>
    <w:rsid w:val="006D7A0D"/>
    <w:rsid w:val="00713883"/>
    <w:rsid w:val="00715C89"/>
    <w:rsid w:val="007160A9"/>
    <w:rsid w:val="00720627"/>
    <w:rsid w:val="00750B47"/>
    <w:rsid w:val="007952A7"/>
    <w:rsid w:val="007C7DA4"/>
    <w:rsid w:val="007E5759"/>
    <w:rsid w:val="00800473"/>
    <w:rsid w:val="008028F7"/>
    <w:rsid w:val="00837BA0"/>
    <w:rsid w:val="00843585"/>
    <w:rsid w:val="00844374"/>
    <w:rsid w:val="008B6C30"/>
    <w:rsid w:val="008D6237"/>
    <w:rsid w:val="00901D04"/>
    <w:rsid w:val="00904560"/>
    <w:rsid w:val="00962BAB"/>
    <w:rsid w:val="009A39DF"/>
    <w:rsid w:val="009B3FF3"/>
    <w:rsid w:val="009F1C6C"/>
    <w:rsid w:val="00A526ED"/>
    <w:rsid w:val="00A75DD0"/>
    <w:rsid w:val="00A92A6C"/>
    <w:rsid w:val="00AB21F9"/>
    <w:rsid w:val="00AC2203"/>
    <w:rsid w:val="00AF6F83"/>
    <w:rsid w:val="00B24472"/>
    <w:rsid w:val="00B3178C"/>
    <w:rsid w:val="00B52761"/>
    <w:rsid w:val="00B927F8"/>
    <w:rsid w:val="00BA4BFC"/>
    <w:rsid w:val="00BC1F35"/>
    <w:rsid w:val="00BD0B87"/>
    <w:rsid w:val="00BD0FD0"/>
    <w:rsid w:val="00BD73FE"/>
    <w:rsid w:val="00C7673A"/>
    <w:rsid w:val="00C80B81"/>
    <w:rsid w:val="00CA3BEA"/>
    <w:rsid w:val="00CA5E92"/>
    <w:rsid w:val="00CB1F74"/>
    <w:rsid w:val="00CB2DC3"/>
    <w:rsid w:val="00D23017"/>
    <w:rsid w:val="00D55B8D"/>
    <w:rsid w:val="00D63192"/>
    <w:rsid w:val="00D92F41"/>
    <w:rsid w:val="00DD15CC"/>
    <w:rsid w:val="00DE16ED"/>
    <w:rsid w:val="00E05C1D"/>
    <w:rsid w:val="00E1496C"/>
    <w:rsid w:val="00E253F9"/>
    <w:rsid w:val="00E302F8"/>
    <w:rsid w:val="00E365BD"/>
    <w:rsid w:val="00E444FA"/>
    <w:rsid w:val="00E659D8"/>
    <w:rsid w:val="00E8670F"/>
    <w:rsid w:val="00ED0FD8"/>
    <w:rsid w:val="00EE7116"/>
    <w:rsid w:val="00EE7803"/>
    <w:rsid w:val="00EF7C29"/>
    <w:rsid w:val="00F13D8A"/>
    <w:rsid w:val="00F21394"/>
    <w:rsid w:val="00F33D39"/>
    <w:rsid w:val="00F35986"/>
    <w:rsid w:val="00F757B1"/>
    <w:rsid w:val="00F7744E"/>
    <w:rsid w:val="00FD690E"/>
    <w:rsid w:val="014E6B74"/>
    <w:rsid w:val="01B55CBA"/>
    <w:rsid w:val="0C7B172F"/>
    <w:rsid w:val="0EB5582A"/>
    <w:rsid w:val="0F256679"/>
    <w:rsid w:val="119A00B7"/>
    <w:rsid w:val="12D0115C"/>
    <w:rsid w:val="15360ADA"/>
    <w:rsid w:val="15695A88"/>
    <w:rsid w:val="18457589"/>
    <w:rsid w:val="1F8A3F4D"/>
    <w:rsid w:val="220A5B3E"/>
    <w:rsid w:val="26E72CF4"/>
    <w:rsid w:val="2A282F08"/>
    <w:rsid w:val="30606FF8"/>
    <w:rsid w:val="3632550F"/>
    <w:rsid w:val="3E56705A"/>
    <w:rsid w:val="41945247"/>
    <w:rsid w:val="49147F39"/>
    <w:rsid w:val="50510124"/>
    <w:rsid w:val="584E4592"/>
    <w:rsid w:val="585510A9"/>
    <w:rsid w:val="5B087808"/>
    <w:rsid w:val="5B325FB7"/>
    <w:rsid w:val="5C523BBD"/>
    <w:rsid w:val="5EA57AD5"/>
    <w:rsid w:val="5FD117C0"/>
    <w:rsid w:val="697C4A05"/>
    <w:rsid w:val="6AA54AE0"/>
    <w:rsid w:val="73476A2F"/>
    <w:rsid w:val="749C523A"/>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link w:val="16"/>
    <w:qFormat/>
    <w:uiPriority w:val="0"/>
    <w:pPr>
      <w:tabs>
        <w:tab w:val="center" w:pos="4153"/>
        <w:tab w:val="right" w:pos="8306"/>
      </w:tabs>
      <w:snapToGrid w:val="0"/>
      <w:jc w:val="left"/>
    </w:pPr>
    <w:rPr>
      <w:sz w:val="18"/>
      <w:szCs w:val="18"/>
    </w:rPr>
  </w:style>
  <w:style w:type="paragraph" w:styleId="4">
    <w:name w:val="header"/>
    <w:basedOn w:val="1"/>
    <w:link w:val="15"/>
    <w:qFormat/>
    <w:uiPriority w:val="0"/>
    <w:pPr>
      <w:tabs>
        <w:tab w:val="center" w:pos="4153"/>
        <w:tab w:val="right" w:pos="8306"/>
      </w:tabs>
      <w:snapToGrid w:val="0"/>
      <w:jc w:val="center"/>
    </w:pPr>
    <w:rPr>
      <w:sz w:val="18"/>
      <w:szCs w:val="18"/>
    </w:rPr>
  </w:style>
  <w:style w:type="paragraph" w:styleId="5">
    <w:name w:val="annotation subject"/>
    <w:basedOn w:val="2"/>
    <w:next w:val="2"/>
    <w:link w:val="12"/>
    <w:qFormat/>
    <w:uiPriority w:val="0"/>
    <w:rPr>
      <w:b/>
      <w:bCs/>
    </w:rPr>
  </w:style>
  <w:style w:type="character" w:styleId="8">
    <w:name w:val="annotation reference"/>
    <w:basedOn w:val="7"/>
    <w:qFormat/>
    <w:uiPriority w:val="0"/>
    <w:rPr>
      <w:sz w:val="21"/>
      <w:szCs w:val="21"/>
    </w:rPr>
  </w:style>
  <w:style w:type="paragraph" w:styleId="9">
    <w:name w:val="List Paragraph"/>
    <w:basedOn w:val="1"/>
    <w:qFormat/>
    <w:uiPriority w:val="34"/>
    <w:pPr>
      <w:ind w:firstLine="420" w:firstLineChars="200"/>
    </w:pPr>
  </w:style>
  <w:style w:type="paragraph" w:customStyle="1" w:styleId="1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1">
    <w:name w:val="批注文字 字符"/>
    <w:basedOn w:val="7"/>
    <w:link w:val="2"/>
    <w:qFormat/>
    <w:uiPriority w:val="0"/>
    <w:rPr>
      <w:kern w:val="2"/>
      <w:sz w:val="21"/>
      <w:szCs w:val="22"/>
    </w:rPr>
  </w:style>
  <w:style w:type="character" w:customStyle="1" w:styleId="12">
    <w:name w:val="批注主题 字符"/>
    <w:basedOn w:val="11"/>
    <w:link w:val="5"/>
    <w:qFormat/>
    <w:uiPriority w:val="0"/>
    <w:rPr>
      <w:b/>
      <w:bCs/>
      <w:kern w:val="2"/>
      <w:sz w:val="21"/>
      <w:szCs w:val="22"/>
    </w:rPr>
  </w:style>
  <w:style w:type="paragraph" w:customStyle="1" w:styleId="13">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4">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5">
    <w:name w:val="页眉 字符"/>
    <w:basedOn w:val="7"/>
    <w:link w:val="4"/>
    <w:qFormat/>
    <w:uiPriority w:val="0"/>
    <w:rPr>
      <w:kern w:val="2"/>
      <w:sz w:val="18"/>
      <w:szCs w:val="18"/>
    </w:rPr>
  </w:style>
  <w:style w:type="character" w:customStyle="1" w:styleId="16">
    <w:name w:val="页脚 字符"/>
    <w:basedOn w:val="7"/>
    <w:link w:val="3"/>
    <w:qFormat/>
    <w:uiPriority w:val="0"/>
    <w:rPr>
      <w:kern w:val="2"/>
      <w:sz w:val="18"/>
      <w:szCs w:val="18"/>
    </w:rPr>
  </w:style>
</w:style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1101</Words>
  <Characters>6281</Characters>
  <Lines>52</Lines>
  <Paragraphs>14</Paragraphs>
  <TotalTime>0</TotalTime>
  <ScaleCrop>false</ScaleCrop>
  <LinksUpToDate>false</LinksUpToDate>
  <CharactersWithSpaces>7368</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2022-10-26T09:26:00Z</dcterms:created>
  <dc:creator>figochen</dc:creator>
  <cp:lastModifiedBy>yanyuecheng</cp:lastModifiedBy>
  <dcterms:modified xsi:type="dcterms:W3CDTF">2025-11-26T03:03:03Z</dcterms:modified>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360154BD02334D3A9517901595027C27</vt:lpwstr>
  </property>
</Properties>
</file>